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53AFE" w:rsidRPr="00753AFE" w:rsidRDefault="001A5F6E" w:rsidP="00753AFE">
      <w:pPr>
        <w:spacing w:after="0" w:line="240" w:lineRule="auto"/>
        <w:jc w:val="center"/>
        <w:outlineLvl w:val="0"/>
        <w:rPr>
          <w:rFonts w:ascii="Arial" w:eastAsia="Times New Roman" w:hAnsi="Arial" w:cs="Arial"/>
          <w:b/>
          <w:bCs/>
          <w:kern w:val="36"/>
          <w:lang w:eastAsia="ru-RU"/>
        </w:rPr>
      </w:pPr>
      <w:bookmarkStart w:id="0" w:name="_GoBack"/>
      <w:bookmarkEnd w:id="0"/>
      <w:r w:rsidRPr="00753AFE">
        <w:rPr>
          <w:rFonts w:ascii="Arial" w:eastAsia="Times New Roman" w:hAnsi="Arial" w:cs="Arial"/>
          <w:b/>
          <w:bCs/>
          <w:kern w:val="36"/>
          <w:lang w:eastAsia="ru-RU"/>
        </w:rPr>
        <w:t xml:space="preserve">Профсоюзы не поддержали законопроект </w:t>
      </w:r>
    </w:p>
    <w:p w:rsidR="001A5F6E" w:rsidRPr="00753AFE" w:rsidRDefault="001A5F6E" w:rsidP="00753AFE">
      <w:pPr>
        <w:spacing w:after="0" w:line="240" w:lineRule="auto"/>
        <w:jc w:val="center"/>
        <w:outlineLvl w:val="0"/>
        <w:rPr>
          <w:rFonts w:ascii="Arial" w:eastAsia="Times New Roman" w:hAnsi="Arial" w:cs="Arial"/>
          <w:b/>
          <w:bCs/>
          <w:kern w:val="36"/>
          <w:lang w:eastAsia="ru-RU"/>
        </w:rPr>
      </w:pPr>
      <w:r w:rsidRPr="00753AFE">
        <w:rPr>
          <w:rFonts w:ascii="Arial" w:eastAsia="Times New Roman" w:hAnsi="Arial" w:cs="Arial"/>
          <w:b/>
          <w:bCs/>
          <w:kern w:val="36"/>
          <w:lang w:eastAsia="ru-RU"/>
        </w:rPr>
        <w:t>о повышении пенсионного возраста</w:t>
      </w:r>
    </w:p>
    <w:p w:rsidR="00753AFE" w:rsidRDefault="00753AFE" w:rsidP="00753AFE">
      <w:pPr>
        <w:spacing w:after="0" w:line="240" w:lineRule="auto"/>
        <w:ind w:firstLine="709"/>
        <w:jc w:val="both"/>
        <w:rPr>
          <w:rFonts w:ascii="Arial" w:eastAsia="Times New Roman" w:hAnsi="Arial" w:cs="Arial"/>
          <w:lang w:eastAsia="ru-RU"/>
        </w:rPr>
      </w:pP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В решении Российской трехсторонней комиссии по регулированию социально-трудовых отношений по итогам обсуждения законопроекта о повышении пенсионного возраста отмечается, что сторона, представляющая общероссийские объединения профсоюзов, не поддерживает проект федерального закона «О внесении изменений в отдельные законодательные акты РФ по вопросам назначения и выплаты пенсий».</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 xml:space="preserve">Профсоюзы </w:t>
      </w:r>
      <w:hyperlink r:id="rId4" w:tgtFrame="_blank" w:history="1">
        <w:r w:rsidRPr="00753AFE">
          <w:rPr>
            <w:rFonts w:ascii="Arial" w:eastAsia="Times New Roman" w:hAnsi="Arial" w:cs="Arial"/>
            <w:lang w:eastAsia="ru-RU"/>
          </w:rPr>
          <w:t>считают</w:t>
        </w:r>
      </w:hyperlink>
      <w:r w:rsidRPr="00753AFE">
        <w:rPr>
          <w:rFonts w:ascii="Arial" w:eastAsia="Times New Roman" w:hAnsi="Arial" w:cs="Arial"/>
          <w:lang w:eastAsia="ru-RU"/>
        </w:rPr>
        <w:t>, что главный резерв для пополнения пенсионного фонда – это повышение зарплат и вывод бизнеса из тени. РТК ежегодно рассматривала бюджет Пенсионного фонда, и всегда утверждалось, что дефицита по страховой части нет.</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Сторона комиссии, представляющая сторону работодателей, концептуально поддерживает проект федерального закона и считает необходимым:</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 провести детальную оценку влияния предлагаемых мер на экономику, рисков и последствий реализации законопроекта для рынка труда, системы защиты от безработицы, включая пособия по безработице и переподготовку лиц старших возрастов;</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 предоставить актуарные расчеты и детальные статистические показатели, которые легли в основу законопроекта и подтверждают сбалансированность пенсионной системы в перспективе;</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 оценить бюджетные расходы на минимизацию рисков;</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 предоставить информацию о мерах, которые будут реализовываться в целях нивелирования рисков;</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 активизировать реформирование института досрочных пенсий, в том числе с учетом развития системы досрочного негосударственного пенсионного обеспечения и создания системы страхования профессиональных рисков, ускорить рассмотрение соответствующего законопроекта.</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Глава РСПП и координатор стороны работодателей Александр Шохин выразил надежду, что ко второму чтению законопроекта в Госдуме будут даны ответы на все поставленные сейчас вопросы. Также Шохин отметил, что нужно и дальше реформировать систему корпоративных и накопительных пенсий.</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Глава ФНПР Михаил Шмаков высказал некоторые предложения по изменению пенсионной системы. В частности, предложения правительства, по его мнению, можно было бы вводить не с 2019 года, а с 2020, чтобы было время для спокойного обсуждения. Шмаков считает, что нужно отказаться от накопительной системы, все имеющиеся в настоящее время средства направить в солидарную систему, а индивидуальный пенсионный капитал должен формироваться только на добровольной основе.</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Кроме того, Шмаков отметил, что хотя в ближайшее время планируется ратифицировать 102-ю Конвенцию Международной организации труда (МОТ) «О минимальных нормах соцобеспечения», в которой признано, что возмещение утраченного в связи с выходом на пенсию заработка должно быть на уровне не ниже 40%, из нее изъята часть, касающаяся страхования от безработицы. Профсоюзы считают, что эту конвенцию следует ратифицировать полностью. Глава ФНПР уверен, что те, кто не уплачивает страховые взносы, не должны рассчитывать на страховую пенсию в принципе, а только на социальную.</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Шмаков предложил координатору РТК Татьяне Голиковой собрать еще одно заседание РТК перед вторым чтением законопроекта в Госдуме, чтобы понять, какие предложения были учтены. Также он напомнил о давнишнем предложении перевести управление Фондом социального страхования на трехстороннюю основу. Профлидер также высказал предложение о выведении Росстата из подчинения правительству под президентское подчинение.</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 Нам нужна объективная информация, а не подстроенные расчеты, – сказал Шмаков. И в завершение своего выступления глава ФНПР предложил пересмотреть закон о забастовках, потому что в настоящее время забастовки в России практически невозможны. Однако, чтобы добиться реализации своих прав, работники должны иметь возможность прибегать и к таким мерам, как забастовки.</w:t>
      </w:r>
    </w:p>
    <w:p w:rsidR="001A5F6E" w:rsidRPr="00753AFE" w:rsidRDefault="001A5F6E" w:rsidP="00753AFE">
      <w:pPr>
        <w:spacing w:after="0" w:line="240" w:lineRule="auto"/>
        <w:ind w:firstLine="709"/>
        <w:jc w:val="both"/>
        <w:rPr>
          <w:rFonts w:ascii="Arial" w:eastAsia="Times New Roman" w:hAnsi="Arial" w:cs="Arial"/>
          <w:lang w:eastAsia="ru-RU"/>
        </w:rPr>
      </w:pPr>
      <w:r w:rsidRPr="00753AFE">
        <w:rPr>
          <w:rFonts w:ascii="Arial" w:eastAsia="Times New Roman" w:hAnsi="Arial" w:cs="Arial"/>
          <w:lang w:eastAsia="ru-RU"/>
        </w:rPr>
        <w:t>Согласно опросу РОМИР, уже 92% россиян не поддерживают планы по повышению пенсионного возраста. Профсоюзы выступают категорически против любого повышения пенсионного возраста, считая такую меру не только антисоциальной, но и вредной для экономики, о чем председатель Федерации независимых профсоюзов России Михаил Шмаков </w:t>
      </w:r>
      <w:hyperlink r:id="rId5" w:history="1">
        <w:r w:rsidRPr="00753AFE">
          <w:rPr>
            <w:rFonts w:ascii="Arial" w:eastAsia="Times New Roman" w:hAnsi="Arial" w:cs="Arial"/>
            <w:lang w:eastAsia="ru-RU"/>
          </w:rPr>
          <w:t>написал в письме премьер-министру страны Дмитрию Медведеву</w:t>
        </w:r>
      </w:hyperlink>
      <w:r w:rsidRPr="00753AFE">
        <w:rPr>
          <w:rFonts w:ascii="Arial" w:eastAsia="Times New Roman" w:hAnsi="Arial" w:cs="Arial"/>
          <w:lang w:eastAsia="ru-RU"/>
        </w:rPr>
        <w:t>.</w:t>
      </w:r>
    </w:p>
    <w:sectPr w:rsidR="001A5F6E" w:rsidRPr="00753AFE" w:rsidSect="00753AFE">
      <w:pgSz w:w="11906" w:h="16838"/>
      <w:pgMar w:top="851" w:right="850" w:bottom="567"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1002AFF" w:usb1="4000ACFF" w:usb2="00000009" w:usb3="00000000" w:csb0="000001FF" w:csb1="00000000"/>
  </w:font>
  <w:font w:name="Times New Roman">
    <w:panose1 w:val="02020603050405020304"/>
    <w:charset w:val="CC"/>
    <w:family w:val="roman"/>
    <w:pitch w:val="variable"/>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F6E"/>
    <w:rsid w:val="001A5F6E"/>
    <w:rsid w:val="003320DD"/>
    <w:rsid w:val="006C5332"/>
    <w:rsid w:val="00721B28"/>
    <w:rsid w:val="00753AFE"/>
    <w:rsid w:val="008739DD"/>
    <w:rsid w:val="00DF329C"/>
    <w:rsid w:val="00E016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66AA6"/>
  <w15:chartTrackingRefBased/>
  <w15:docId w15:val="{FDF0E935-4009-4E43-97BC-5DE08C9868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5864618">
      <w:bodyDiv w:val="1"/>
      <w:marLeft w:val="0"/>
      <w:marRight w:val="0"/>
      <w:marTop w:val="0"/>
      <w:marBottom w:val="0"/>
      <w:divBdr>
        <w:top w:val="none" w:sz="0" w:space="0" w:color="auto"/>
        <w:left w:val="none" w:sz="0" w:space="0" w:color="auto"/>
        <w:bottom w:val="none" w:sz="0" w:space="0" w:color="auto"/>
        <w:right w:val="none" w:sz="0" w:space="0" w:color="auto"/>
      </w:divBdr>
      <w:divsChild>
        <w:div w:id="1598439399">
          <w:marLeft w:val="0"/>
          <w:marRight w:val="0"/>
          <w:marTop w:val="0"/>
          <w:marBottom w:val="0"/>
          <w:divBdr>
            <w:top w:val="none" w:sz="0" w:space="0" w:color="auto"/>
            <w:left w:val="none" w:sz="0" w:space="0" w:color="auto"/>
            <w:bottom w:val="none" w:sz="0" w:space="0" w:color="auto"/>
            <w:right w:val="none" w:sz="0" w:space="0" w:color="auto"/>
          </w:divBdr>
          <w:divsChild>
            <w:div w:id="1053963093">
              <w:marLeft w:val="0"/>
              <w:marRight w:val="0"/>
              <w:marTop w:val="0"/>
              <w:marBottom w:val="0"/>
              <w:divBdr>
                <w:top w:val="none" w:sz="0" w:space="0" w:color="auto"/>
                <w:left w:val="none" w:sz="0" w:space="0" w:color="auto"/>
                <w:bottom w:val="none" w:sz="0" w:space="0" w:color="auto"/>
                <w:right w:val="none" w:sz="0" w:space="0" w:color="auto"/>
              </w:divBdr>
              <w:divsChild>
                <w:div w:id="1285500175">
                  <w:marLeft w:val="0"/>
                  <w:marRight w:val="0"/>
                  <w:marTop w:val="0"/>
                  <w:marBottom w:val="0"/>
                  <w:divBdr>
                    <w:top w:val="none" w:sz="0" w:space="0" w:color="auto"/>
                    <w:left w:val="none" w:sz="0" w:space="0" w:color="auto"/>
                    <w:bottom w:val="none" w:sz="0" w:space="0" w:color="auto"/>
                    <w:right w:val="none" w:sz="0" w:space="0" w:color="auto"/>
                  </w:divBdr>
                  <w:divsChild>
                    <w:div w:id="256718403">
                      <w:marLeft w:val="0"/>
                      <w:marRight w:val="0"/>
                      <w:marTop w:val="0"/>
                      <w:marBottom w:val="0"/>
                      <w:divBdr>
                        <w:top w:val="none" w:sz="0" w:space="0" w:color="auto"/>
                        <w:left w:val="none" w:sz="0" w:space="0" w:color="auto"/>
                        <w:bottom w:val="none" w:sz="0" w:space="0" w:color="auto"/>
                        <w:right w:val="none" w:sz="0" w:space="0" w:color="auto"/>
                      </w:divBdr>
                      <w:divsChild>
                        <w:div w:id="341051459">
                          <w:marLeft w:val="0"/>
                          <w:marRight w:val="0"/>
                          <w:marTop w:val="0"/>
                          <w:marBottom w:val="0"/>
                          <w:divBdr>
                            <w:top w:val="none" w:sz="0" w:space="0" w:color="auto"/>
                            <w:left w:val="none" w:sz="0" w:space="0" w:color="auto"/>
                            <w:bottom w:val="none" w:sz="0" w:space="0" w:color="auto"/>
                            <w:right w:val="none" w:sz="0" w:space="0" w:color="auto"/>
                          </w:divBdr>
                          <w:divsChild>
                            <w:div w:id="1291862868">
                              <w:marLeft w:val="0"/>
                              <w:marRight w:val="0"/>
                              <w:marTop w:val="0"/>
                              <w:marBottom w:val="0"/>
                              <w:divBdr>
                                <w:top w:val="none" w:sz="0" w:space="0" w:color="auto"/>
                                <w:left w:val="none" w:sz="0" w:space="0" w:color="auto"/>
                                <w:bottom w:val="none" w:sz="0" w:space="0" w:color="auto"/>
                                <w:right w:val="none" w:sz="0" w:space="0" w:color="auto"/>
                              </w:divBdr>
                              <w:divsChild>
                                <w:div w:id="2041513035">
                                  <w:marLeft w:val="0"/>
                                  <w:marRight w:val="0"/>
                                  <w:marTop w:val="225"/>
                                  <w:marBottom w:val="225"/>
                                  <w:divBdr>
                                    <w:top w:val="single" w:sz="6" w:space="8" w:color="000000"/>
                                    <w:left w:val="single" w:sz="6" w:space="8" w:color="000000"/>
                                    <w:bottom w:val="single" w:sz="6" w:space="8" w:color="000000"/>
                                    <w:right w:val="single" w:sz="6" w:space="8" w:color="000000"/>
                                  </w:divBdr>
                                  <w:divsChild>
                                    <w:div w:id="265815836">
                                      <w:marLeft w:val="0"/>
                                      <w:marRight w:val="0"/>
                                      <w:marTop w:val="0"/>
                                      <w:marBottom w:val="60"/>
                                      <w:divBdr>
                                        <w:top w:val="none" w:sz="0" w:space="0" w:color="auto"/>
                                        <w:left w:val="none" w:sz="0" w:space="0" w:color="auto"/>
                                        <w:bottom w:val="none" w:sz="0" w:space="0" w:color="auto"/>
                                        <w:right w:val="none" w:sz="0" w:space="0" w:color="auto"/>
                                      </w:divBdr>
                                    </w:div>
                                    <w:div w:id="1005012519">
                                      <w:marLeft w:val="0"/>
                                      <w:marRight w:val="0"/>
                                      <w:marTop w:val="0"/>
                                      <w:marBottom w:val="0"/>
                                      <w:divBdr>
                                        <w:top w:val="none" w:sz="0" w:space="0" w:color="auto"/>
                                        <w:left w:val="none" w:sz="0" w:space="0" w:color="auto"/>
                                        <w:bottom w:val="none" w:sz="0" w:space="0" w:color="auto"/>
                                        <w:right w:val="none" w:sz="0" w:space="0" w:color="auto"/>
                                      </w:divBdr>
                                    </w:div>
                                    <w:div w:id="1692757393">
                                      <w:marLeft w:val="0"/>
                                      <w:marRight w:val="0"/>
                                      <w:marTop w:val="0"/>
                                      <w:marBottom w:val="0"/>
                                      <w:divBdr>
                                        <w:top w:val="none" w:sz="0" w:space="0" w:color="auto"/>
                                        <w:left w:val="none" w:sz="0" w:space="0" w:color="auto"/>
                                        <w:bottom w:val="none" w:sz="0" w:space="0" w:color="auto"/>
                                        <w:right w:val="none" w:sz="0" w:space="0" w:color="auto"/>
                                      </w:divBdr>
                                    </w:div>
                                    <w:div w:id="55857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solidarnost.org/articles/FNPR_protiv_povysheniya_pensionnogo_vozrasta.html" TargetMode="External"/><Relationship Id="rId4" Type="http://schemas.openxmlformats.org/officeDocument/2006/relationships/hyperlink" Target="https://www.solidarnost.org/news/V_Belom_dome_nachalos__obsuzhdenie_zakonoproekta_o_povyshenii_pensionnogo_vozrasta.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649</Words>
  <Characters>3702</Characters>
  <Application>Microsoft Office Word</Application>
  <DocSecurity>0</DocSecurity>
  <Lines>30</Lines>
  <Paragraphs>8</Paragraphs>
  <ScaleCrop>false</ScaleCrop>
  <HeadingPairs>
    <vt:vector size="4" baseType="variant">
      <vt:variant>
        <vt:lpstr>Название</vt:lpstr>
      </vt:variant>
      <vt:variant>
        <vt:i4>1</vt:i4>
      </vt:variant>
      <vt:variant>
        <vt:lpstr>Заголовки</vt:lpstr>
      </vt:variant>
      <vt:variant>
        <vt:i4>1</vt:i4>
      </vt:variant>
    </vt:vector>
  </HeadingPairs>
  <TitlesOfParts>
    <vt:vector size="2" baseType="lpstr">
      <vt:lpstr/>
      <vt:lpstr>Профсоюзы не поддержали законопроект о повышении пенсионного возраста</vt:lpstr>
    </vt:vector>
  </TitlesOfParts>
  <Company/>
  <LinksUpToDate>false</LinksUpToDate>
  <CharactersWithSpaces>4343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Ситнов</dc:creator>
  <cp:keywords/>
  <dc:description/>
  <cp:lastModifiedBy>CWU R</cp:lastModifiedBy>
  <cp:revision>3</cp:revision>
  <dcterms:created xsi:type="dcterms:W3CDTF">2018-06-19T09:17:00Z</dcterms:created>
  <dcterms:modified xsi:type="dcterms:W3CDTF">2018-06-19T09:44:00Z</dcterms:modified>
</cp:coreProperties>
</file>